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Quiet Crisis in Rural Hospital Finance</w:t>
      </w:r>
    </w:p>
    <w:p>
      <w:pPr>
        <w:pStyle w:val="Subtitle"/>
      </w:pPr>
      <w:r>
        <w:t xml:space="preserve">Medicaid complexity is structurally underpaying rural hospitals — and almost nobody is working the recovery side.</w:t>
      </w:r>
    </w:p>
    <w:p>
      <w:pPr>
        <w:spacing w:after="160" w:line="320"/>
      </w:pPr>
      <w:r>
        <w:rPr>
          <w:color w:val="6b7280"/>
          <w:sz w:val="20"/>
          <w:szCs w:val="20"/>
        </w:rPr>
        <w:t xml:space="preserve">HRN Group  •  April 2026  •  8 pages  •  11 minute read</w:t>
      </w:r>
    </w:p>
    <w:p>
      <w:pPr>
        <w:spacing w:after="160" w:line="320"/>
      </w:pPr>
      <w:r>
        <w:rPr>
          <w:i/>
          <w:iCs/>
          <w:color w:val="6b7280"/>
          <w:sz w:val="20"/>
          <w:szCs w:val="20"/>
        </w:rPr>
        <w:t xml:space="preserve">Audience: Rural Hospital CFOs, CEOs, Boards, and State Hospital Associations</w:t>
      </w:r>
    </w:p>
    <w:p>
      <w:pPr>
        <w:pStyle w:val="Heading1"/>
      </w:pPr>
      <w:r>
        <w:t xml:space="preserve">The Quiet Crisis</w:t>
      </w:r>
    </w:p>
    <w:p>
      <w:pPr>
        <w:spacing w:after="160" w:line="320"/>
      </w:pPr>
      <w:r>
        <w:t xml:space="preserve">Since 2010, more than 130 rural hospitals in the United States have closed. Hundreds more operate on margins so thin that a single bad quarter would tip them over. The headlines blame Medicaid expansion politics, rural depopulation, or labor costs — and those things matter. But there is another factor that almost nobody talks about, and it is large enough to swing the survival math for many of these hospitals on its own.</w:t>
      </w:r>
    </w:p>
    <w:p>
      <w:pPr>
        <w:spacing w:after="160" w:line="320"/>
      </w:pPr>
      <w:r>
        <w:t xml:space="preserve">Most rural hospitals are being underpaid by Medicaid for services they have already rendered, properly documented, and lawfully billed. The money is owed to them. It is rarely fraudulent. It is almost always the byproduct of a payer landscape whose complexity now exceeds the capacity of any small billing team to fully navigate. And for the typical rural hospital, the underpayment is not a small leak. It is a structural drain large enough to be the difference between solvency and closure.</w:t>
      </w:r>
    </w:p>
    <w:p>
      <w:pPr>
        <w:spacing w:after="160" w:line="320"/>
      </w:pPr>
      <w:r>
        <w:t xml:space="preserve">We estimate the rural-hospital share of this problem at approximately </w:t>
      </w:r>
      <w:r>
        <w:rPr>
          <w:b/>
          <w:bCs/>
        </w:rPr>
        <w:t xml:space="preserve">$2.4 billion per year</w:t>
      </w:r>
      <w:r>
        <w:t xml:space="preserve">. Most of it is invisible on a hospital’s income statement because it shows up not as “stolen revenue” but as “lower margin” — the subtle, year-over-year erosion that boards attribute to bad luck or bad management.</w:t>
      </w:r>
    </w:p>
    <w:p>
      <w:pPr>
        <w:pBdr>
          <w:left w:val="single" w:color="E8734A" w:sz="24" w:space="12"/>
        </w:pBdr>
        <w:spacing w:after="200" w:before="120" w:line="320"/>
        <w:ind w:left="360" w:right="360"/>
      </w:pPr>
      <w:r>
        <w:rPr>
          <w:i/>
          <w:iCs/>
        </w:rPr>
        <w:t xml:space="preserve">It is neither. It is the predictable consequence of putting under-resourced billing teams against a payer landscape that has grown too complex for them to fully work.</w:t>
      </w:r>
    </w:p>
    <w:p>
      <w:pPr>
        <w:pStyle w:val="Heading1"/>
      </w:pPr>
      <w:r>
        <w:t xml:space="preserve">Why This Happens</w:t>
      </w:r>
    </w:p>
    <w:p>
      <w:pPr>
        <w:spacing w:after="160" w:line="320"/>
      </w:pPr>
      <w:r>
        <w:t xml:space="preserve">Medicaid is not a program. It is fifty-six programs — fifty states, the District of Columbia, five territories — each with their own rules, their own fee schedules, their own coverage policies, their own appeal procedures, and, in most states, multiple Managed Care Organizations layered on top of the state baseline. Each MCO interprets and applies the rules slightly differently. Each one publishes its own provider manual. Each one has its own deadlines, its own denial-code conventions, its own escalation paths.</w:t>
      </w:r>
    </w:p>
    <w:p>
      <w:pPr>
        <w:spacing w:after="160" w:line="320"/>
      </w:pPr>
      <w:r>
        <w:t xml:space="preserve">The complexity of this landscape is genuinely staggering. A rural hospital in a state with three contracted MCOs is effectively billing four payers — the state baseline plus three MCOs — each of which can change its rules at any time, each of which has hundreds of pages of policy documentation, and each of which has tens of thousands of distinct fee-schedule line items.</w:t>
      </w:r>
    </w:p>
    <w:p>
      <w:pPr>
        <w:spacing w:after="160" w:line="320"/>
      </w:pPr>
      <w:r>
        <w:t xml:space="preserve">Now consider who is on the other side of the table. The typical rural hospital has one to three people in its billing operation. Those people are usually excellent at what they do. They are usually overworked. And the complexity-to-headcount ratio they face is, in any honest accounting, structurally adversarial.</w:t>
      </w:r>
    </w:p>
    <w:p>
      <w:pPr>
        <w:spacing w:after="160" w:line="320"/>
      </w:pPr>
      <w:r>
        <w:t xml:space="preserve">When a claim is denied, the denial code rarely tells the biller what actually went wrong. CO-16 means “the service is not covered under the contract” — but that is a category that includes dozens of specific reasons, several of which have specific remedies, several of which do not, and a handful of which require evidence the biller does not know how to gather. Working a single denial through to recovery can take hours of research. Most hospitals do not have those hours. So denials accumulate. Appeal windows close. The money is lost.</w:t>
      </w:r>
    </w:p>
    <w:p>
      <w:pPr>
        <w:spacing w:after="160" w:line="320"/>
      </w:pPr>
      <w:r>
        <w:t xml:space="preserve">This is not a failure of effort or competence. It is a failure of resources against complexity, and it has been getting worse for a decade.</w:t>
      </w:r>
    </w:p>
    <w:p>
      <w:pPr>
        <w:pStyle w:val="Heading1"/>
      </w:pPr>
      <w:r>
        <w:t xml:space="preserve">Why Generic AI Doesn’t Solve It</w:t>
      </w:r>
    </w:p>
    <w:p>
      <w:pPr>
        <w:spacing w:after="160" w:line="320"/>
      </w:pPr>
      <w:r>
        <w:t xml:space="preserve">In early 2026, several major AI companies announced healthcare offerings. Each promised to bring large-language-model capability to revenue cycle work. The promises are real and the technology is impressive — for tasks like drafting appeal letters, summarizing policy documents, and answering general questions about codes.</w:t>
      </w:r>
    </w:p>
    <w:p>
      <w:pPr>
        <w:spacing w:after="160" w:line="320"/>
      </w:pPr>
      <w:r>
        <w:t xml:space="preserve">But the hard problem in Medicaid revenue recovery is not “what does CO-16 mean.” Your billing team already knows what CO-16 means. The hard problem is more specific:</w:t>
      </w:r>
    </w:p>
    <w:p>
      <w:pPr>
        <w:pBdr>
          <w:left w:val="single" w:color="E8734A" w:sz="24" w:space="12"/>
        </w:pBdr>
        <w:spacing w:after="200" w:before="120" w:line="320"/>
        <w:ind w:left="360" w:right="360"/>
      </w:pPr>
      <w:r>
        <w:rPr>
          <w:i/>
          <w:iCs/>
        </w:rPr>
        <w:t xml:space="preserve">Given this denial, on this service, from this MCO, under this state’s rules in force on this date of service — what is the right action to take right now, what evidence do I need to support it, and how many days do I have left to act?</w:t>
      </w:r>
    </w:p>
    <w:p>
      <w:pPr>
        <w:spacing w:after="160" w:line="320"/>
      </w:pPr>
      <w:r>
        <w:t xml:space="preserve">That is not a question a generic model can answer. Generic models do not know which MCO in your state has been quietly denying your hospital’s behavioral-health claims at twice the rate of its peers. They do not know that one MCO’s appeal window is sixty days while another’s is one hundred eighty. They do not know the actual recovery rate that similar appeals have produced for similar facilities in your state. They are reading the rulebook. They are not reading the battlefield.</w:t>
      </w:r>
    </w:p>
    <w:p>
      <w:pPr>
        <w:spacing w:after="160" w:line="320"/>
      </w:pPr>
      <w:r>
        <w:t xml:space="preserve">The work of revenue recovery is not lookup. It is judgment under specific, jurisdictional, time-bounded conditions. That is why the AI promise has not yet reached rural hospitals, even as it transforms other parts of healthcare.</w:t>
      </w:r>
    </w:p>
    <w:p>
      <w:pPr>
        <w:pStyle w:val="Heading1"/>
      </w:pPr>
      <w:r>
        <w:t xml:space="preserve">What Recovery Actually Looks Like</w:t>
      </w:r>
    </w:p>
    <w:p>
      <w:pPr>
        <w:spacing w:after="160" w:line="320"/>
      </w:pPr>
      <w:r>
        <w:t xml:space="preserve">In 2026 we did the work for SCK Health, a rural hospital in southern Kansas. We did not give them software. We did not ask them to learn anything new. We applied our analytic capability against their actual claim and remittance data and we returned a written, actionable picture of what was being lost.</w:t>
      </w:r>
    </w:p>
    <w:p>
      <w:pPr>
        <w:spacing w:after="160" w:line="320"/>
      </w:pPr>
      <w:r>
        <w:t xml:space="preserve">What we found was not unusual. We expect to find similar patterns in nearly every rural hospital we examine:</w:t>
      </w:r>
    </w:p>
    <w:p>
      <w:pPr>
        <w:pStyle w:val="ListParagraph"/>
        <w:numPr>
          <w:ilvl w:val="0"/>
          <w:numId w:val="2"/>
        </w:numPr>
        <w:spacing w:after="100" w:line="320"/>
      </w:pPr>
      <w:r>
        <w:rPr>
          <w:b/>
          <w:bCs/>
        </w:rPr>
        <w:t xml:space="preserve">$7.62 million </w:t>
      </w:r>
      <w:r>
        <w:t xml:space="preserve">in realistic annual recovery opportunity, with a conservative floor of $4.95 million and an upper estimate of $10.67 million</w:t>
      </w:r>
    </w:p>
    <w:p>
      <w:pPr>
        <w:pStyle w:val="ListParagraph"/>
        <w:numPr>
          <w:ilvl w:val="0"/>
          <w:numId w:val="2"/>
        </w:numPr>
        <w:spacing w:after="100" w:line="320"/>
      </w:pPr>
      <w:r>
        <w:rPr>
          <w:b/>
          <w:bCs/>
        </w:rPr>
        <w:t xml:space="preserve">$1.84 million </w:t>
      </w:r>
      <w:r>
        <w:t xml:space="preserve">sitting in a single category of denials (CO-16) that we believed were appealable based on our review of the underlying state and MCO rules</w:t>
      </w:r>
    </w:p>
    <w:p>
      <w:pPr>
        <w:pStyle w:val="ListParagraph"/>
        <w:numPr>
          <w:ilvl w:val="0"/>
          <w:numId w:val="2"/>
        </w:numPr>
        <w:spacing w:after="100" w:line="320"/>
      </w:pPr>
      <w:r>
        <w:rPr>
          <w:b/>
          <w:bCs/>
        </w:rPr>
        <w:t xml:space="preserve">$3.8 million </w:t>
      </w:r>
      <w:r>
        <w:t xml:space="preserve">in claims for which the hospital had never been paid and never received an explanation — claims that had simply gone silent</w:t>
      </w:r>
    </w:p>
    <w:p>
      <w:pPr>
        <w:pStyle w:val="ListParagraph"/>
        <w:numPr>
          <w:ilvl w:val="0"/>
          <w:numId w:val="2"/>
        </w:numPr>
        <w:spacing w:after="100" w:line="320"/>
      </w:pPr>
      <w:r>
        <w:t xml:space="preserve">An </w:t>
      </w:r>
      <w:r>
        <w:rPr>
          <w:b/>
          <w:bCs/>
        </w:rPr>
        <w:t xml:space="preserve">18-percentage-point gap</w:t>
      </w:r>
      <w:r>
        <w:t xml:space="preserve"> between the collection rates of two of the hospital’s contracted MCOs, a gap that nobody had previously measured and that no one inside the hospital had visibility into</w:t>
      </w:r>
    </w:p>
    <w:p>
      <w:pPr>
        <w:spacing w:after="160" w:line="320"/>
      </w:pPr>
      <w:r>
        <w:t xml:space="preserve">These were not theoretical numbers. They were tied to specific claims and specific actions. The hospital’s leadership had been told for years that they were being paid what they were owed. They were not.</w:t>
      </w:r>
    </w:p>
    <w:p>
      <w:pPr>
        <w:spacing w:after="160" w:line="320"/>
      </w:pPr>
      <w:r>
        <w:t xml:space="preserve">We are not going to walk through how we built the analysis in this paper. We have specific reasons for keeping that quiet. What matters for the reader is that the analysis is repeatable, that it does not require the hospital to install anything or change its workflow, and that the work is paid for from recovery — meaning the hospital does not write a check to find out whether the problem exists.</w:t>
      </w:r>
    </w:p>
    <w:p>
      <w:pPr>
        <w:pStyle w:val="Heading1"/>
      </w:pPr>
      <w:r>
        <w:t xml:space="preserve">Who This Is For</w:t>
      </w:r>
    </w:p>
    <w:p>
      <w:pPr>
        <w:spacing w:after="160" w:line="320"/>
      </w:pPr>
      <w:r>
        <w:t xml:space="preserve">This paper is written for a specific audience:</w:t>
      </w:r>
    </w:p>
    <w:p>
      <w:pPr>
        <w:pStyle w:val="ListParagraph"/>
        <w:numPr>
          <w:ilvl w:val="0"/>
          <w:numId w:val="2"/>
        </w:numPr>
        <w:spacing w:after="100" w:line="320"/>
      </w:pPr>
      <w:r>
        <w:t xml:space="preserve">Rural hospital CFOs and CEOs who suspect their Medicaid revenue is leaking but cannot prove it</w:t>
      </w:r>
    </w:p>
    <w:p>
      <w:pPr>
        <w:pStyle w:val="ListParagraph"/>
        <w:numPr>
          <w:ilvl w:val="0"/>
          <w:numId w:val="2"/>
        </w:numPr>
        <w:spacing w:after="100" w:line="320"/>
      </w:pPr>
      <w:r>
        <w:t xml:space="preserve">Critical-access hospitals with a Medicaid mix above forty percent</w:t>
      </w:r>
    </w:p>
    <w:p>
      <w:pPr>
        <w:pStyle w:val="ListParagraph"/>
        <w:numPr>
          <w:ilvl w:val="0"/>
          <w:numId w:val="2"/>
        </w:numPr>
        <w:spacing w:after="100" w:line="320"/>
      </w:pPr>
      <w:r>
        <w:t xml:space="preserve">Health systems whose rural affiliates are dragging down system margin</w:t>
      </w:r>
    </w:p>
    <w:p>
      <w:pPr>
        <w:pStyle w:val="ListParagraph"/>
        <w:numPr>
          <w:ilvl w:val="0"/>
          <w:numId w:val="2"/>
        </w:numPr>
        <w:spacing w:after="100" w:line="320"/>
      </w:pPr>
      <w:r>
        <w:t xml:space="preserve">State hospital associations whose members are closing one or two facilities a year</w:t>
      </w:r>
    </w:p>
    <w:p>
      <w:pPr>
        <w:pStyle w:val="ListParagraph"/>
        <w:numPr>
          <w:ilvl w:val="0"/>
          <w:numId w:val="2"/>
        </w:numPr>
        <w:spacing w:after="100" w:line="320"/>
      </w:pPr>
      <w:r>
        <w:t xml:space="preserve">Hospital boards being asked to make survival decisions without a complete picture of what their hospital is actually owed</w:t>
      </w:r>
    </w:p>
    <w:p>
      <w:pPr>
        <w:spacing w:after="160" w:line="320"/>
      </w:pPr>
      <w:r>
        <w:t xml:space="preserve">If you recognize your organization in this list, the rest of this paper is the part you should read to your CFO.</w:t>
      </w:r>
    </w:p>
    <w:p>
      <w:pPr>
        <w:pBdr>
          <w:left w:val="single" w:color="E8734A" w:sz="24" w:space="12"/>
        </w:pBdr>
        <w:spacing w:after="200" w:before="120" w:line="320"/>
        <w:ind w:left="360" w:right="360"/>
      </w:pPr>
      <w:r>
        <w:rPr>
          <w:i/>
          <w:iCs/>
        </w:rPr>
        <w:t xml:space="preserve">The hospitals most at risk of closure are also the ones most likely to be sitting on recoverable Medicaid revenue they have never been told about. The two facts are connected.</w:t>
      </w:r>
    </w:p>
    <w:p>
      <w:pPr>
        <w:pStyle w:val="Heading1"/>
      </w:pPr>
      <w:r>
        <w:t xml:space="preserve">The Cost of Waiting</w:t>
      </w:r>
    </w:p>
    <w:p>
      <w:pPr>
        <w:spacing w:after="160" w:line="320"/>
      </w:pPr>
      <w:r>
        <w:t xml:space="preserve">Every quarter that passes is another set of appeal windows that close on denials you never worked. Every quarter is another set of patterns that ossify into “the way our hospital has always been paid.” The recoverable opportunity is largest in the first twelve months of an engagement because there is a backlog to work through. After that the opportunity is recurring but smaller.</w:t>
      </w:r>
    </w:p>
    <w:p>
      <w:pPr>
        <w:spacing w:after="160" w:line="320"/>
      </w:pPr>
      <w:r>
        <w:t xml:space="preserve">We do not charge a fee to look. We work on recovery share, which means our incentives are aligned with yours: we are paid only when you are paid. The first conversation costs you nothing but an hour, and the analysis we return at the end of the first sprint will tell you within reasonable bounds what you have been losing.</w:t>
      </w:r>
    </w:p>
    <w:p>
      <w:pPr>
        <w:spacing w:after="160" w:line="320"/>
      </w:pPr>
      <w:r>
        <w:t xml:space="preserve">If you would like to start that conversation, contact us at hrngroup.us/contact. We will respond within one business day.</w:t>
      </w:r>
    </w:p>
    <w:p>
      <w:pPr>
        <w:spacing w:after="160" w:line="320"/>
      </w:pPr>
      <w:r>
        <w:t xml:space="preserve"/>
      </w:r>
    </w:p>
    <w:p>
      <w:pPr>
        <w:spacing w:after="160" w:line="320"/>
      </w:pPr>
      <w:r>
        <w:rPr>
          <w:color w:val="6b7280"/>
          <w:sz w:val="18"/>
          <w:szCs w:val="18"/>
        </w:rPr>
        <w:t xml:space="preserve">HRN Group  •  Wichita, Kansas  •  hrngroup.us</w:t>
      </w:r>
    </w:p>
    <w:p>
      <w:pPr>
        <w:spacing w:after="160" w:line="320"/>
      </w:pPr>
      <w:r>
        <w:rPr>
          <w:i/>
          <w:iCs/>
          <w:color w:val="6b7280"/>
          <w:sz w:val="18"/>
          <w:szCs w:val="18"/>
        </w:rPr>
        <w:t xml:space="preserve">© 2026 HRN Group / High Value Change LLC. All rights reserved.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ource Sans Pro" w:cs="Source Sans Pro" w:eastAsia="Source Sans Pro" w:hAnsi="Source Sans Pro"/>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Merriweather" w:cs="Merriweather" w:eastAsia="Merriweather" w:hAnsi="Merriweather"/>
      <w:b/>
      <w:bCs/>
      <w:color w:val="1A3550"/>
      <w:sz w:val="40"/>
      <w:szCs w:val="40"/>
    </w:rPr>
  </w:style>
  <w:style w:type="paragraph" w:styleId="Subtitle">
    <w:name w:val="Subtitle"/>
    <w:basedOn w:val="Normal"/>
    <w:next w:val="Normal"/>
    <w:qFormat/>
    <w:pPr>
      <w:spacing w:after="360" w:before="0"/>
    </w:pPr>
    <w:rPr>
      <w:rFonts w:ascii="Merriweather" w:cs="Merriweather" w:eastAsia="Merriweather" w:hAnsi="Merriweather"/>
      <w:i/>
      <w:iCs/>
      <w:color w:val="0B5E5E"/>
      <w:sz w:val="24"/>
      <w:szCs w:val="24"/>
    </w:rPr>
  </w:style>
  <w:style w:type="paragraph" w:styleId="Heading1">
    <w:name w:val="Heading 1"/>
    <w:basedOn w:val="Normal"/>
    <w:next w:val="Normal"/>
    <w:qFormat/>
    <w:pPr>
      <w:spacing w:after="160" w:before="320"/>
      <w:outlineLvl w:val="0"/>
    </w:pPr>
    <w:rPr>
      <w:rFonts w:ascii="Merriweather" w:cs="Merriweather" w:eastAsia="Merriweather" w:hAnsi="Merriweather"/>
      <w:b/>
      <w:bCs/>
      <w:color w:val="1A3550"/>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Quiet Crisis in Rural Hospital Finance</dc:title>
  <dc:creator>HRN Group</dc:creator>
  <cp:lastModifiedBy>Un-named</cp:lastModifiedBy>
  <cp:revision>1</cp:revision>
  <dcterms:created xsi:type="dcterms:W3CDTF">2026-04-08T01:47:13.252Z</dcterms:created>
  <dcterms:modified xsi:type="dcterms:W3CDTF">2026-04-08T01:47:13.252Z</dcterms:modified>
</cp:coreProperties>
</file>

<file path=docProps/custom.xml><?xml version="1.0" encoding="utf-8"?>
<Properties xmlns="http://schemas.openxmlformats.org/officeDocument/2006/custom-properties" xmlns:vt="http://schemas.openxmlformats.org/officeDocument/2006/docPropsVTypes"/>
</file>